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BodyText"/>
        <w:spacing w:before="87"/>
        <w:ind w:left="9" w:right="10"/>
        <w:jc w:val="center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60659" cy="10518798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659" cy="10518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3"/>
        </w:rPr>
        <w:t xml:space="preserve">PROJETO </w:t>
      </w:r>
      <w:r>
        <w:rPr>
          <w:spacing w:val="-5"/>
          <w:sz w:val="23"/>
        </w:rPr>
        <w:t>GEF</w:t>
      </w:r>
    </w:p>
    <w:p>
      <w:pPr>
        <w:pStyle w:val="BodyText"/>
        <w:spacing w:before="242"/>
        <w:ind w:left="10" w:right="10"/>
        <w:jc w:val="center"/>
      </w:pPr>
      <w:r>
        <w:rPr>
          <w:w w:val="90"/>
          <w:sz w:val="23"/>
        </w:rPr>
        <w:t xml:space="preserve">GESTÃO </w:t>
      </w:r>
      <w:r>
        <w:rPr>
          <w:w w:val="90"/>
          <w:sz w:val="23"/>
        </w:rPr>
        <w:t xml:space="preserve">INTEGRADA </w:t>
      </w:r>
      <w:r>
        <w:rPr>
          <w:w w:val="90"/>
          <w:sz w:val="23"/>
        </w:rPr>
        <w:t xml:space="preserve">DA </w:t>
      </w:r>
      <w:r>
        <w:rPr>
          <w:w w:val="90"/>
          <w:sz w:val="23"/>
        </w:rPr>
        <w:t xml:space="preserve">BACIA HIDROGRÁFICA </w:t>
      </w:r>
      <w:r>
        <w:rPr>
          <w:w w:val="90"/>
          <w:sz w:val="23"/>
        </w:rPr>
        <w:t xml:space="preserve">DE </w:t>
      </w:r>
      <w:r>
        <w:rPr>
          <w:spacing w:val="-5"/>
          <w:w w:val="90"/>
          <w:sz w:val="23"/>
        </w:rPr>
        <w:t>PUTUMAYO-IÇÁ</w:t>
      </w:r>
    </w:p>
    <w:p>
      <w:pPr>
        <w:pStyle w:val="BodyText"/>
        <w:spacing w:before="237" w:line="271" w:lineRule="auto"/>
        <w:ind w:right="10"/>
        <w:jc w:val="center"/>
      </w:pPr>
      <w:r>
        <w:rPr>
          <w:spacing w:val="-8"/>
          <w:sz w:val="23"/>
        </w:rPr>
        <w:t xml:space="preserve">Comunicado </w:t>
      </w:r>
      <w:r>
        <w:rPr>
          <w:spacing w:val="-8"/>
          <w:sz w:val="23"/>
        </w:rPr>
        <w:t xml:space="preserve">ao </w:t>
      </w:r>
      <w:r>
        <w:rPr>
          <w:spacing w:val="-8"/>
          <w:sz w:val="23"/>
        </w:rPr>
        <w:t xml:space="preserve">Comitê </w:t>
      </w:r>
      <w:r>
        <w:rPr>
          <w:spacing w:val="-8"/>
          <w:sz w:val="23"/>
        </w:rPr>
        <w:t xml:space="preserve">Técnico </w:t>
      </w:r>
      <w:r>
        <w:rPr>
          <w:spacing w:val="-8"/>
          <w:sz w:val="23"/>
        </w:rPr>
        <w:t xml:space="preserve">sobre </w:t>
      </w:r>
      <w:r>
        <w:rPr>
          <w:spacing w:val="-8"/>
          <w:sz w:val="23"/>
        </w:rPr>
        <w:t xml:space="preserve">o conflito </w:t>
      </w:r>
      <w:r>
        <w:rPr>
          <w:spacing w:val="-8"/>
          <w:sz w:val="23"/>
        </w:rPr>
        <w:t xml:space="preserve">de </w:t>
      </w:r>
      <w:r>
        <w:rPr>
          <w:spacing w:val="-8"/>
          <w:sz w:val="23"/>
        </w:rPr>
        <w:t xml:space="preserve">interesses </w:t>
      </w:r>
      <w:r>
        <w:rPr>
          <w:spacing w:val="-8"/>
          <w:sz w:val="23"/>
        </w:rPr>
        <w:t xml:space="preserve">para </w:t>
      </w:r>
      <w:r>
        <w:rPr>
          <w:spacing w:val="-8"/>
          <w:sz w:val="23"/>
        </w:rPr>
        <w:t xml:space="preserve">a </w:t>
      </w:r>
      <w:r>
        <w:rPr>
          <w:spacing w:val="-8"/>
          <w:sz w:val="23"/>
        </w:rPr>
        <w:t xml:space="preserve">participação </w:t>
      </w:r>
      <w:r>
        <w:rPr>
          <w:spacing w:val="-8"/>
          <w:sz w:val="23"/>
        </w:rPr>
        <w:t xml:space="preserve">em </w:t>
      </w:r>
      <w:r>
        <w:rPr>
          <w:spacing w:val="-2"/>
          <w:sz w:val="23"/>
        </w:rPr>
        <w:t>subprojetos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71" w:lineRule="auto"/>
        <w:ind w:left="141" w:right="133"/>
        <w:jc w:val="both"/>
      </w:pPr>
      <w:r>
        <w:rPr>
          <w:w w:val="90"/>
          <w:sz w:val="23"/>
        </w:rPr>
        <w:t xml:space="preserve">No âmbito do desenvolvimento do projeto Gestão Integrada da Bacia do Rio Putumayo-Içá, </w:t>
      </w:r>
      <w:r>
        <w:rPr>
          <w:spacing w:val="-4"/>
          <w:sz w:val="23"/>
        </w:rPr>
        <w:t xml:space="preserve">reconhece-se que as entidades aliadas que fazem parte do Comitê Técnico contribuíram </w:t>
      </w:r>
      <w:r>
        <w:rPr>
          <w:w w:val="90"/>
          <w:sz w:val="23"/>
        </w:rPr>
        <w:t xml:space="preserve">significativamente para o processo de formulação, integrando seus conhecimentos e experiências. Essas entidades, além disso, </w:t>
      </w:r>
      <w:r>
        <w:rPr>
          <w:w w:val="90"/>
          <w:sz w:val="23"/>
        </w:rPr>
        <w:t xml:space="preserve">têm um vínculo </w:t>
      </w:r>
      <w:r>
        <w:rPr>
          <w:w w:val="90"/>
          <w:sz w:val="23"/>
        </w:rPr>
        <w:t xml:space="preserve">importante com a </w:t>
      </w:r>
      <w:r>
        <w:rPr>
          <w:w w:val="90"/>
          <w:sz w:val="23"/>
        </w:rPr>
        <w:t xml:space="preserve">área de influência, seja por seu trabalho </w:t>
      </w:r>
      <w:r>
        <w:rPr>
          <w:spacing w:val="-8"/>
          <w:sz w:val="23"/>
        </w:rPr>
        <w:t xml:space="preserve">prévio </w:t>
      </w:r>
      <w:r>
        <w:rPr>
          <w:spacing w:val="-8"/>
          <w:sz w:val="23"/>
        </w:rPr>
        <w:t xml:space="preserve">na </w:t>
      </w:r>
      <w:r>
        <w:rPr>
          <w:spacing w:val="-8"/>
          <w:sz w:val="23"/>
        </w:rPr>
        <w:t>região</w:t>
      </w:r>
      <w:r>
        <w:rPr>
          <w:sz w:val="23"/>
        </w:rPr>
        <w:t xml:space="preserve">, seja </w:t>
      </w:r>
      <w:r>
        <w:rPr>
          <w:spacing w:val="-8"/>
          <w:sz w:val="23"/>
        </w:rPr>
        <w:t xml:space="preserve">porque </w:t>
      </w:r>
      <w:r>
        <w:rPr>
          <w:spacing w:val="-8"/>
          <w:sz w:val="23"/>
        </w:rPr>
        <w:t xml:space="preserve">sua </w:t>
      </w:r>
      <w:r>
        <w:rPr>
          <w:spacing w:val="-8"/>
          <w:sz w:val="23"/>
        </w:rPr>
        <w:t xml:space="preserve">missão </w:t>
      </w:r>
      <w:r>
        <w:rPr>
          <w:spacing w:val="-8"/>
          <w:sz w:val="23"/>
        </w:rPr>
        <w:t xml:space="preserve">institucional </w:t>
      </w:r>
      <w:r>
        <w:rPr>
          <w:spacing w:val="-8"/>
          <w:sz w:val="23"/>
        </w:rPr>
        <w:t xml:space="preserve">lhes </w:t>
      </w:r>
      <w:r>
        <w:rPr>
          <w:spacing w:val="-8"/>
          <w:sz w:val="23"/>
        </w:rPr>
        <w:t xml:space="preserve">permitirá </w:t>
      </w:r>
      <w:r>
        <w:rPr>
          <w:spacing w:val="-8"/>
          <w:sz w:val="23"/>
        </w:rPr>
        <w:t xml:space="preserve">continuar </w:t>
      </w:r>
      <w:r>
        <w:rPr>
          <w:spacing w:val="-8"/>
          <w:sz w:val="23"/>
        </w:rPr>
        <w:t xml:space="preserve">no </w:t>
      </w:r>
      <w:r>
        <w:rPr>
          <w:spacing w:val="-8"/>
          <w:sz w:val="23"/>
        </w:rPr>
        <w:t xml:space="preserve">território </w:t>
      </w:r>
      <w:r>
        <w:rPr>
          <w:spacing w:val="-6"/>
          <w:sz w:val="23"/>
        </w:rPr>
        <w:t xml:space="preserve">após a conclusão do projeto, </w:t>
      </w:r>
      <w:r>
        <w:rPr>
          <w:spacing w:val="-6"/>
          <w:sz w:val="23"/>
        </w:rPr>
        <w:t xml:space="preserve">contribuindo </w:t>
      </w:r>
      <w:r>
        <w:rPr>
          <w:spacing w:val="-6"/>
          <w:sz w:val="23"/>
        </w:rPr>
        <w:t xml:space="preserve">assim para </w:t>
      </w:r>
      <w:r>
        <w:rPr>
          <w:spacing w:val="-6"/>
          <w:sz w:val="23"/>
        </w:rPr>
        <w:t xml:space="preserve">a sustentabilidade </w:t>
      </w:r>
      <w:r>
        <w:rPr>
          <w:spacing w:val="-6"/>
          <w:sz w:val="23"/>
        </w:rPr>
        <w:t xml:space="preserve">de </w:t>
      </w:r>
      <w:r>
        <w:rPr>
          <w:spacing w:val="-6"/>
          <w:sz w:val="23"/>
        </w:rPr>
        <w:t>seus resultados.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71" w:lineRule="auto"/>
        <w:ind w:left="141" w:right="133"/>
        <w:jc w:val="both"/>
      </w:pPr>
      <w:r>
        <w:rPr>
          <w:w w:val="90"/>
          <w:sz w:val="23"/>
        </w:rPr>
        <w:t xml:space="preserve">Em sua estrutura operacional, o projeto dispõe de recursos para financiar subprojetos em </w:t>
      </w:r>
      <w:r>
        <w:rPr>
          <w:sz w:val="23"/>
        </w:rPr>
        <w:t xml:space="preserve">temas </w:t>
      </w:r>
      <w:r>
        <w:rPr>
          <w:sz w:val="23"/>
        </w:rPr>
        <w:t xml:space="preserve">de </w:t>
      </w:r>
      <w:r>
        <w:rPr>
          <w:sz w:val="23"/>
        </w:rPr>
        <w:t xml:space="preserve">interesse </w:t>
      </w:r>
      <w:r>
        <w:rPr>
          <w:sz w:val="23"/>
        </w:rPr>
        <w:t xml:space="preserve">para </w:t>
      </w:r>
      <w:r>
        <w:rPr>
          <w:sz w:val="23"/>
        </w:rPr>
        <w:t xml:space="preserve">as </w:t>
      </w:r>
      <w:r>
        <w:rPr>
          <w:sz w:val="23"/>
        </w:rPr>
        <w:t xml:space="preserve">entidades </w:t>
      </w:r>
      <w:r>
        <w:rPr>
          <w:sz w:val="23"/>
        </w:rPr>
        <w:t xml:space="preserve">aliadas. </w:t>
      </w:r>
      <w:r>
        <w:rPr>
          <w:sz w:val="23"/>
        </w:rPr>
        <w:t xml:space="preserve">O </w:t>
      </w:r>
      <w:r>
        <w:rPr>
          <w:sz w:val="23"/>
        </w:rPr>
        <w:t xml:space="preserve">Manual </w:t>
      </w:r>
      <w:r>
        <w:rPr>
          <w:sz w:val="23"/>
        </w:rPr>
        <w:t xml:space="preserve">Operacional, </w:t>
      </w:r>
      <w:r>
        <w:rPr>
          <w:sz w:val="23"/>
        </w:rPr>
        <w:t xml:space="preserve">aprovado </w:t>
      </w:r>
      <w:r>
        <w:rPr>
          <w:sz w:val="23"/>
        </w:rPr>
        <w:t xml:space="preserve">pelo </w:t>
      </w:r>
      <w:r>
        <w:rPr>
          <w:sz w:val="23"/>
        </w:rPr>
        <w:t xml:space="preserve">Banco </w:t>
      </w:r>
      <w:r>
        <w:rPr>
          <w:w w:val="90"/>
          <w:sz w:val="23"/>
        </w:rPr>
        <w:t>Mundial e pelo Comitê Diretor Regional, estabelece que, para a execução desses subprojetos</w:t>
      </w:r>
      <w:r>
        <w:rPr>
          <w:w w:val="90"/>
          <w:sz w:val="23"/>
        </w:rPr>
        <w:t xml:space="preserve">, sugere-se a formação de um comitê especializado. Esse comitê, composto pela WCS como entidade </w:t>
      </w:r>
      <w:r>
        <w:rPr>
          <w:spacing w:val="-2"/>
          <w:sz w:val="23"/>
        </w:rPr>
        <w:t xml:space="preserve">executora </w:t>
      </w:r>
      <w:r>
        <w:rPr>
          <w:spacing w:val="-9"/>
          <w:sz w:val="23"/>
        </w:rPr>
        <w:t xml:space="preserve">e </w:t>
      </w:r>
      <w:r>
        <w:rPr>
          <w:spacing w:val="-2"/>
          <w:sz w:val="23"/>
        </w:rPr>
        <w:t xml:space="preserve">alguns </w:t>
      </w:r>
      <w:r>
        <w:rPr>
          <w:spacing w:val="-2"/>
          <w:sz w:val="23"/>
        </w:rPr>
        <w:t xml:space="preserve">membros </w:t>
      </w:r>
      <w:r>
        <w:rPr>
          <w:spacing w:val="-2"/>
          <w:sz w:val="23"/>
        </w:rPr>
        <w:t xml:space="preserve">do </w:t>
      </w:r>
      <w:r>
        <w:rPr>
          <w:spacing w:val="-2"/>
          <w:sz w:val="23"/>
        </w:rPr>
        <w:t xml:space="preserve">Comitê </w:t>
      </w:r>
      <w:r>
        <w:rPr>
          <w:spacing w:val="-2"/>
          <w:sz w:val="23"/>
        </w:rPr>
        <w:t xml:space="preserve">Técnico, </w:t>
      </w:r>
      <w:r>
        <w:rPr>
          <w:spacing w:val="-2"/>
          <w:sz w:val="23"/>
        </w:rPr>
        <w:t xml:space="preserve">será </w:t>
      </w:r>
      <w:r>
        <w:rPr>
          <w:spacing w:val="-2"/>
          <w:sz w:val="23"/>
        </w:rPr>
        <w:t xml:space="preserve">responsável </w:t>
      </w:r>
      <w:r>
        <w:rPr>
          <w:spacing w:val="-4"/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spacing w:val="-2"/>
          <w:sz w:val="23"/>
        </w:rPr>
        <w:t xml:space="preserve">criar </w:t>
      </w:r>
      <w:r>
        <w:rPr>
          <w:spacing w:val="-9"/>
          <w:sz w:val="23"/>
        </w:rPr>
        <w:t xml:space="preserve">e </w:t>
      </w:r>
      <w:r>
        <w:rPr>
          <w:spacing w:val="-2"/>
          <w:sz w:val="23"/>
        </w:rPr>
        <w:t xml:space="preserve">revisar </w:t>
      </w:r>
      <w:r>
        <w:rPr>
          <w:spacing w:val="-2"/>
          <w:sz w:val="23"/>
        </w:rPr>
        <w:t xml:space="preserve">as </w:t>
      </w:r>
      <w:r>
        <w:rPr>
          <w:spacing w:val="-4"/>
          <w:sz w:val="23"/>
        </w:rPr>
        <w:t xml:space="preserve">chamadas públicas, </w:t>
      </w:r>
      <w:r>
        <w:rPr>
          <w:spacing w:val="-4"/>
          <w:sz w:val="23"/>
        </w:rPr>
        <w:t xml:space="preserve">bem </w:t>
      </w:r>
      <w:r>
        <w:rPr>
          <w:spacing w:val="-4"/>
          <w:sz w:val="23"/>
        </w:rPr>
        <w:t xml:space="preserve">como </w:t>
      </w:r>
      <w:r>
        <w:rPr>
          <w:spacing w:val="-4"/>
          <w:sz w:val="23"/>
        </w:rPr>
        <w:t xml:space="preserve">avaliar </w:t>
      </w:r>
      <w:r>
        <w:rPr>
          <w:spacing w:val="-4"/>
          <w:sz w:val="23"/>
        </w:rPr>
        <w:t xml:space="preserve">as </w:t>
      </w:r>
      <w:r>
        <w:rPr>
          <w:spacing w:val="-4"/>
          <w:sz w:val="23"/>
        </w:rPr>
        <w:t xml:space="preserve">propostas </w:t>
      </w:r>
      <w:r>
        <w:rPr>
          <w:spacing w:val="-4"/>
          <w:sz w:val="23"/>
        </w:rPr>
        <w:t xml:space="preserve">recebidas </w:t>
      </w:r>
      <w:r>
        <w:rPr>
          <w:spacing w:val="-4"/>
          <w:sz w:val="23"/>
        </w:rPr>
        <w:t xml:space="preserve">de acordo com </w:t>
      </w:r>
      <w:r>
        <w:rPr>
          <w:spacing w:val="-4"/>
          <w:sz w:val="23"/>
        </w:rPr>
        <w:t xml:space="preserve">os </w:t>
      </w:r>
      <w:r>
        <w:rPr>
          <w:spacing w:val="-4"/>
          <w:sz w:val="23"/>
        </w:rPr>
        <w:t xml:space="preserve">critérios </w:t>
      </w:r>
      <w:r>
        <w:rPr>
          <w:spacing w:val="-4"/>
          <w:sz w:val="23"/>
        </w:rPr>
        <w:t>definidos.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 w:line="271" w:lineRule="auto"/>
        <w:ind w:left="141" w:right="128"/>
        <w:jc w:val="both"/>
      </w:pPr>
      <w:r>
        <w:rPr>
          <w:sz w:val="23"/>
        </w:rPr>
        <w:t xml:space="preserve">Em relação ao acima exposto, o Manual Operacional, no capítulo sobre Subprojetos, indica </w:t>
      </w:r>
      <w:r>
        <w:rPr>
          <w:spacing w:val="-6"/>
          <w:sz w:val="23"/>
        </w:rPr>
        <w:t xml:space="preserve">explicitamente </w:t>
      </w:r>
      <w:r>
        <w:rPr>
          <w:spacing w:val="-6"/>
          <w:sz w:val="23"/>
        </w:rPr>
        <w:t xml:space="preserve">o </w:t>
      </w:r>
      <w:r>
        <w:rPr>
          <w:spacing w:val="-6"/>
          <w:sz w:val="23"/>
        </w:rPr>
        <w:t xml:space="preserve">conflito </w:t>
      </w:r>
      <w:r>
        <w:rPr>
          <w:spacing w:val="-6"/>
          <w:sz w:val="23"/>
        </w:rPr>
        <w:t xml:space="preserve">de </w:t>
      </w:r>
      <w:r>
        <w:rPr>
          <w:spacing w:val="-6"/>
          <w:sz w:val="23"/>
        </w:rPr>
        <w:t xml:space="preserve">interesses </w:t>
      </w:r>
      <w:r>
        <w:rPr>
          <w:spacing w:val="-6"/>
          <w:sz w:val="23"/>
        </w:rPr>
        <w:t xml:space="preserve">e </w:t>
      </w:r>
      <w:r>
        <w:rPr>
          <w:spacing w:val="-6"/>
          <w:sz w:val="23"/>
        </w:rPr>
        <w:t xml:space="preserve">seu </w:t>
      </w:r>
      <w:r>
        <w:rPr>
          <w:spacing w:val="-6"/>
          <w:sz w:val="23"/>
        </w:rPr>
        <w:t xml:space="preserve">tratamento </w:t>
      </w:r>
      <w:r>
        <w:rPr>
          <w:spacing w:val="-6"/>
          <w:sz w:val="23"/>
        </w:rPr>
        <w:t xml:space="preserve">da </w:t>
      </w:r>
      <w:r>
        <w:rPr>
          <w:spacing w:val="-6"/>
          <w:sz w:val="23"/>
        </w:rPr>
        <w:t>seguinte</w:t>
      </w:r>
      <w:r>
        <w:rPr>
          <w:spacing w:val="-6"/>
          <w:sz w:val="23"/>
        </w:rPr>
        <w:t xml:space="preserve"> </w:t>
      </w:r>
      <w:r>
        <w:rPr>
          <w:spacing w:val="-6"/>
          <w:sz w:val="23"/>
        </w:rPr>
        <w:t xml:space="preserve">forma: </w:t>
      </w:r>
      <w:r>
        <w:rPr>
          <w:spacing w:val="-6"/>
          <w:sz w:val="23"/>
        </w:rPr>
        <w:t xml:space="preserve">“Se </w:t>
      </w:r>
      <w:r>
        <w:rPr>
          <w:spacing w:val="-6"/>
          <w:sz w:val="23"/>
        </w:rPr>
        <w:t xml:space="preserve">alguma </w:t>
      </w:r>
      <w:r>
        <w:rPr>
          <w:spacing w:val="-6"/>
          <w:sz w:val="23"/>
        </w:rPr>
        <w:t xml:space="preserve">das </w:t>
      </w:r>
      <w:r>
        <w:rPr>
          <w:sz w:val="23"/>
        </w:rPr>
        <w:t xml:space="preserve">entidades </w:t>
      </w:r>
      <w:r>
        <w:rPr>
          <w:sz w:val="23"/>
        </w:rPr>
        <w:t xml:space="preserve">parceiras </w:t>
      </w:r>
      <w:r>
        <w:rPr>
          <w:spacing w:val="-13"/>
          <w:sz w:val="23"/>
        </w:rPr>
        <w:t xml:space="preserve">ou </w:t>
      </w:r>
      <w:r>
        <w:rPr>
          <w:sz w:val="23"/>
        </w:rPr>
        <w:t xml:space="preserve">aliadas </w:t>
      </w:r>
      <w:r>
        <w:rPr>
          <w:sz w:val="23"/>
        </w:rPr>
        <w:t xml:space="preserve">signatárias </w:t>
      </w:r>
      <w:r>
        <w:rPr>
          <w:sz w:val="23"/>
        </w:rPr>
        <w:t xml:space="preserve">dos </w:t>
      </w:r>
      <w:r>
        <w:rPr>
          <w:sz w:val="23"/>
        </w:rPr>
        <w:t xml:space="preserve">acordos </w:t>
      </w:r>
      <w:r>
        <w:rPr>
          <w:sz w:val="23"/>
        </w:rPr>
        <w:t xml:space="preserve">interinstitucionais </w:t>
      </w:r>
      <w:r>
        <w:rPr>
          <w:sz w:val="23"/>
        </w:rPr>
        <w:t xml:space="preserve">tiver </w:t>
      </w:r>
      <w:r>
        <w:rPr>
          <w:sz w:val="23"/>
        </w:rPr>
        <w:t xml:space="preserve">interesse </w:t>
      </w:r>
      <w:r>
        <w:rPr>
          <w:sz w:val="23"/>
        </w:rPr>
        <w:t xml:space="preserve">em </w:t>
      </w:r>
      <w:r>
        <w:rPr>
          <w:spacing w:val="-4"/>
          <w:sz w:val="23"/>
        </w:rPr>
        <w:t xml:space="preserve">participar </w:t>
      </w:r>
      <w:r>
        <w:rPr>
          <w:spacing w:val="-4"/>
          <w:sz w:val="23"/>
        </w:rPr>
        <w:t xml:space="preserve">de </w:t>
      </w:r>
      <w:r>
        <w:rPr>
          <w:spacing w:val="-4"/>
          <w:sz w:val="23"/>
        </w:rPr>
        <w:t xml:space="preserve">alguma </w:t>
      </w:r>
      <w:r>
        <w:rPr>
          <w:spacing w:val="-4"/>
          <w:sz w:val="23"/>
        </w:rPr>
        <w:t xml:space="preserve">das </w:t>
      </w:r>
      <w:r>
        <w:rPr>
          <w:spacing w:val="-4"/>
          <w:sz w:val="23"/>
        </w:rPr>
        <w:t xml:space="preserve">convocatórias </w:t>
      </w:r>
      <w:r>
        <w:rPr>
          <w:spacing w:val="-4"/>
          <w:sz w:val="23"/>
        </w:rPr>
        <w:t xml:space="preserve">para </w:t>
      </w:r>
      <w:r>
        <w:rPr>
          <w:spacing w:val="-4"/>
          <w:sz w:val="23"/>
        </w:rPr>
        <w:t xml:space="preserve">adjudicação </w:t>
      </w:r>
      <w:r>
        <w:rPr>
          <w:spacing w:val="-4"/>
          <w:sz w:val="23"/>
        </w:rPr>
        <w:t xml:space="preserve">de </w:t>
      </w:r>
      <w:r>
        <w:rPr>
          <w:spacing w:val="-4"/>
          <w:sz w:val="23"/>
        </w:rPr>
        <w:t xml:space="preserve">subacordos, </w:t>
      </w:r>
      <w:r>
        <w:rPr>
          <w:spacing w:val="-4"/>
          <w:sz w:val="23"/>
        </w:rPr>
        <w:t xml:space="preserve">não </w:t>
      </w:r>
      <w:r>
        <w:rPr>
          <w:spacing w:val="-4"/>
          <w:sz w:val="23"/>
        </w:rPr>
        <w:t xml:space="preserve">deverá </w:t>
      </w:r>
      <w:r>
        <w:rPr>
          <w:spacing w:val="-6"/>
          <w:sz w:val="23"/>
        </w:rPr>
        <w:t xml:space="preserve">participar </w:t>
      </w:r>
      <w:r>
        <w:rPr>
          <w:spacing w:val="-6"/>
          <w:sz w:val="23"/>
        </w:rPr>
        <w:t xml:space="preserve">da elaboração </w:t>
      </w:r>
      <w:r>
        <w:rPr>
          <w:spacing w:val="-6"/>
          <w:sz w:val="23"/>
        </w:rPr>
        <w:t xml:space="preserve">dos </w:t>
      </w:r>
      <w:r>
        <w:rPr>
          <w:spacing w:val="-6"/>
          <w:sz w:val="23"/>
        </w:rPr>
        <w:t xml:space="preserve">critérios </w:t>
      </w:r>
      <w:r>
        <w:rPr>
          <w:spacing w:val="-6"/>
          <w:sz w:val="23"/>
        </w:rPr>
        <w:t xml:space="preserve">técnicos, </w:t>
      </w:r>
      <w:r>
        <w:rPr>
          <w:spacing w:val="-6"/>
          <w:sz w:val="23"/>
        </w:rPr>
        <w:t xml:space="preserve">estudos </w:t>
      </w:r>
      <w:r>
        <w:rPr>
          <w:spacing w:val="-6"/>
          <w:sz w:val="23"/>
        </w:rPr>
        <w:t xml:space="preserve">prévios, </w:t>
      </w:r>
      <w:r>
        <w:rPr>
          <w:spacing w:val="-6"/>
          <w:sz w:val="23"/>
        </w:rPr>
        <w:t xml:space="preserve">avaliação ou </w:t>
      </w:r>
      <w:r>
        <w:rPr>
          <w:spacing w:val="-6"/>
          <w:sz w:val="23"/>
        </w:rPr>
        <w:t xml:space="preserve">qualquer </w:t>
      </w:r>
      <w:r>
        <w:rPr>
          <w:spacing w:val="-6"/>
          <w:sz w:val="23"/>
        </w:rPr>
        <w:t xml:space="preserve">outra </w:t>
      </w:r>
      <w:r>
        <w:rPr>
          <w:sz w:val="23"/>
        </w:rPr>
        <w:t xml:space="preserve">etapa relacionada ao processo prévio à adjudicação, supervisão e avaliação do </w:t>
      </w:r>
      <w:r>
        <w:rPr>
          <w:w w:val="90"/>
          <w:sz w:val="23"/>
        </w:rPr>
        <w:t xml:space="preserve">subprojeto de interesse. </w:t>
      </w:r>
      <w:r>
        <w:rPr>
          <w:spacing w:val="-11"/>
          <w:sz w:val="23"/>
        </w:rPr>
        <w:t>Isso</w:t>
      </w:r>
      <w:r>
        <w:rPr>
          <w:w w:val="90"/>
          <w:sz w:val="23"/>
        </w:rPr>
        <w:t xml:space="preserve"> deverá ficar registrado por escrito nas atas do comitê de </w:t>
      </w:r>
      <w:r>
        <w:rPr>
          <w:spacing w:val="-4"/>
          <w:sz w:val="23"/>
        </w:rPr>
        <w:t xml:space="preserve">avaliação </w:t>
      </w:r>
      <w:r>
        <w:rPr>
          <w:spacing w:val="-4"/>
          <w:sz w:val="23"/>
        </w:rPr>
        <w:t xml:space="preserve">da </w:t>
      </w:r>
      <w:r>
        <w:rPr>
          <w:spacing w:val="-4"/>
          <w:sz w:val="23"/>
        </w:rPr>
        <w:t xml:space="preserve">convocatória </w:t>
      </w:r>
      <w:r>
        <w:rPr>
          <w:spacing w:val="-4"/>
          <w:sz w:val="23"/>
        </w:rPr>
        <w:t>respectiva.”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spacing w:line="434" w:lineRule="auto"/>
        <w:ind w:left="141" w:right="2612"/>
      </w:pPr>
      <w:r>
        <w:rPr>
          <w:spacing w:val="-4"/>
          <w:sz w:val="23"/>
        </w:rPr>
        <w:t xml:space="preserve">Unidade </w:t>
      </w:r>
      <w:r>
        <w:rPr>
          <w:spacing w:val="-4"/>
          <w:sz w:val="23"/>
        </w:rPr>
        <w:t xml:space="preserve">de </w:t>
      </w:r>
      <w:r>
        <w:rPr>
          <w:spacing w:val="-4"/>
          <w:sz w:val="23"/>
        </w:rPr>
        <w:t xml:space="preserve">Gestão </w:t>
      </w:r>
      <w:r>
        <w:rPr>
          <w:spacing w:val="-4"/>
          <w:sz w:val="23"/>
        </w:rPr>
        <w:t xml:space="preserve">do </w:t>
      </w:r>
      <w:r>
        <w:rPr>
          <w:spacing w:val="-4"/>
          <w:sz w:val="23"/>
        </w:rPr>
        <w:t xml:space="preserve">Projeto </w:t>
      </w:r>
      <w:hyperlink r:id="rId5">
        <w:r>
          <w:rPr>
            <w:spacing w:val="-2"/>
            <w:w w:val="90"/>
            <w:sz w:val="23"/>
          </w:rPr>
          <w:t>contacto@cuencaputumayoica.com</w:t>
        </w:r>
      </w:hyperlink>
    </w:p>
    <w:sectPr>
      <w:type w:val="continuous"/>
      <w:pgSz w:w="11900" w:h="16840"/>
      <w:pgMar w:top="1340" w:right="1559" w:bottom="280" w:left="1559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Calibri">
    <w:altName w:val="Calibri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rPr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hyperlink" Target="mailto:contacto@cuencaputumayoica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7F883499D9B4BBEE8E235000A1CB6" ma:contentTypeVersion="18" ma:contentTypeDescription="Crear nuevo documento." ma:contentTypeScope="" ma:versionID="3a52e15c29bce8c39937be2ffd4eead9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bb51bd9411c0ec25518b2187a248af0e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Props1.xml><?xml version="1.0" encoding="utf-8"?>
<ds:datastoreItem xmlns:ds="http://schemas.openxmlformats.org/officeDocument/2006/customXml" ds:itemID="{C60EFA6D-CD44-4CED-B74D-93BE5586F756}"/>
</file>

<file path=customXml/itemProps2.xml><?xml version="1.0" encoding="utf-8"?>
<ds:datastoreItem xmlns:ds="http://schemas.openxmlformats.org/officeDocument/2006/customXml" ds:itemID="{5B152BD5-9143-47D0-BB9F-A6D4E086886B}"/>
</file>

<file path=customXml/itemProps3.xml><?xml version="1.0" encoding="utf-8"?>
<ds:datastoreItem xmlns:ds="http://schemas.openxmlformats.org/officeDocument/2006/customXml" ds:itemID="{830F4AE8-2FEB-4050-A4CF-C5CF896E7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Paula Gómez Cerquera</dc:creator>
  <cp:keywords>, docId:43329E892825049C2CFC719C7B425A79</cp:keywords>
  <cp:revision>0</cp:revision>
  <dcterms:created xsi:type="dcterms:W3CDTF">2025-10-30T16:34:55Z</dcterms:created>
  <dcterms:modified xsi:type="dcterms:W3CDTF">2025-10-30T16:34:55Z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  <property fmtid="{D5CDD505-2E9C-101B-9397-08002B2CF9AE}" pid="5" name="ContentTypeId">
    <vt:lpwstr>0x010100CCD7F883499D9B4BBEE8E235000A1CB6</vt:lpwstr>
  </property>
</Properties>
</file>